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afb0025646f7d7d6a7b543c57f32f837d0c8a8a"/>
    <w:p>
      <w:pPr>
        <w:pStyle w:val="Heading3"/>
      </w:pPr>
      <w:r>
        <w:t xml:space="preserve">Вышел в свет первый перевод на русский язык первого Гражданского кодекса КНР</w:t>
      </w:r>
    </w:p>
    <w:p>
      <w:pPr>
        <w:pStyle w:val="FirstParagraph"/>
      </w:pPr>
      <w:r>
        <w:t xml:space="preserve">16.02.2021</w:t>
      </w:r>
    </w:p>
    <w:p>
      <w:pPr>
        <w:pStyle w:val="BodyText"/>
      </w:pPr>
      <w:r>
        <w:drawing>
          <wp:inline>
            <wp:extent cx="1905000" cy="2857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c76/g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Вышел в свет первый перевод на русский язык первого в истории Китайской Народной Республики Гражданского кодекса (вступил в силу 1 января 2021 г.), выполненного коллективом авторитетных российских юристов-китаистов. О этом сообщает </w:t>
      </w:r>
      <w:hyperlink r:id="rId23">
        <w:r>
          <w:rPr>
            <w:rStyle w:val="Hyperlink"/>
          </w:rPr>
          <w:t xml:space="preserve">сайт Фонда поддержки и защиты прав соотечественников за рубежом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Объемный труд включает в себя вступительную статью с обзором эволюции гражданского законодательства от периода Республиканского Китая до КНР, а также сам перевод кодекса на русский язык. Общий объем печатной версии книги составил 448 страниц. Электронная версия содержит 431 страницу.</w:t>
      </w:r>
      <w:r>
        <w:br/>
      </w:r>
      <w:r>
        <w:br/>
      </w:r>
      <w:r>
        <w:t xml:space="preserve">Идейным вдохновителем, руководителем проекта и редактором перевода выступил партнер China Window Consulting Group, один из руководителей Центра правовой поддержки соотечественников в Китае, специалист в области юридического сопровождения российского бизнеса в Китае, советник ТПП РФ, представитель «ОПОРЫ России» в Пекине, арбитр Shanghai International Arbitration Center Александр Русланович Зайнигабдинов.</w:t>
      </w:r>
      <w:r>
        <w:br/>
      </w:r>
      <w:r>
        <w:br/>
      </w:r>
      <w:r>
        <w:br/>
      </w:r>
      <w:r>
        <w:t xml:space="preserve">Ответственным редактором перевода и автором вступительной статьи стал ведущий научный сотрудник Института Дальнего Востока РАН, к.ю.н., исследователь традиционного и современного права Китая Павел Владимирович Трощинский. Консультантом перевода выступил доцент кафедры гражданско-правовых дисциплин Владивостокского государственного университета экономики и сервиса, к.ю.н., специалист в области права КНР Александр Петрович Алексеенко. Непосредственно перевод Гражданского кодекса был осуществлен авторитетными отечественными специалистами: В.В.Сониным, Д.С.Соседовым, С.В.Корнеевым. </w:t>
      </w:r>
      <w:hyperlink r:id="rId24">
        <w:r>
          <w:rPr>
            <w:rStyle w:val="Hyperlink"/>
          </w:rPr>
          <w:t xml:space="preserve">Доступ к Гражданскому кодексу КНР</w:t>
        </w:r>
      </w:hyperlink>
      <w:r>
        <w:t xml:space="preserve">/</w:t>
      </w:r>
      <w:r>
        <w:br/>
      </w:r>
      <w:r>
        <w:br/>
      </w:r>
      <w:r>
        <w:t xml:space="preserve">Кодекс заменяет девять действующих законов, которые регулируют гражданские правоотношения. Он объединяет большинство норм гражданского права, содержит нормы вещного права, договорного права, семейного права и наследственного права. За это его прозвали «энциклопедией социальной жизни в КНР».</w:t>
      </w:r>
      <w:r>
        <w:br/>
      </w:r>
      <w:r>
        <w:br/>
      </w:r>
      <w:r>
        <w:t xml:space="preserve">По мнению Александра Зайнигабдинова, оперативный перевод кодекса на русский — это шаг вперед для взаимодействия России и Китая. Кодекс представляет интерес не только для китаистов, но и для представителей российского бизнеса, всех соотечественников, проживающих в Китае. Он упорядочивает юридическую и экономическую сферы Китая и станет настольной книгой для тех российских бизнесменов, которые работают или хотят работать с Китаем.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http://mosds.mos.ru/presscenter/news/detail/9719550.html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719550.html" TargetMode="External" /><Relationship Type="http://schemas.openxmlformats.org/officeDocument/2006/relationships/hyperlink" Id="rId23" Target="https://pravfond.ru/" TargetMode="External" /><Relationship Type="http://schemas.openxmlformats.org/officeDocument/2006/relationships/hyperlink" Id="rId24" Target="https://sinosfera.ru/novosti/71-elektronnaya-kniga-g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719550.html" TargetMode="External" /><Relationship Type="http://schemas.openxmlformats.org/officeDocument/2006/relationships/hyperlink" Id="rId23" Target="https://pravfond.ru/" TargetMode="External" /><Relationship Type="http://schemas.openxmlformats.org/officeDocument/2006/relationships/hyperlink" Id="rId24" Target="https://sinosfera.ru/novosti/71-elektronnaya-kniga-g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2024-03-22T09:50:16Z</dcterms:created>
  <dcterms:modified xsi:type="dcterms:W3CDTF">2024-03-22T09:50:16Z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