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4b50750196e441b8b4dd460727cd32cc091626"/>
    <w:p>
      <w:pPr>
        <w:pStyle w:val="Heading3"/>
      </w:pPr>
      <w:r>
        <w:t xml:space="preserve">Об истории Русской зарубежной церкви в Королевстве СХС/Югославии рассказали в Белграде</w:t>
      </w:r>
    </w:p>
    <w:p>
      <w:pPr>
        <w:pStyle w:val="FirstParagraph"/>
      </w:pPr>
      <w:r>
        <w:t xml:space="preserve">04.02.2021</w:t>
      </w:r>
    </w:p>
    <w:p>
      <w:pPr>
        <w:pStyle w:val="BodyText"/>
      </w:pPr>
      <w:r>
        <w:t xml:space="preserve">В рамках цикла мероприятий «Школа Фонда Трубецких» в Поволжском православном институте прошла совместная онлайн-лекция филологического факультета Белградского университета и Русского Дома на тему «История Русской зарубежной церкви в Королевстве сербов, хорватов и словенцев/Югославии».</w:t>
      </w:r>
    </w:p>
    <w:p>
      <w:pPr>
        <w:pStyle w:val="BodyText"/>
      </w:pPr>
      <w:r>
        <w:drawing>
          <wp:inline>
            <wp:extent cx="4762500" cy="2895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04/p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Лекцию провела доктор филологических наук, профессор Ирина Антанасиевич. Участники видеосеминара познакомились с историей формирования Русской Зарубежной Церкви, с историей влияния русской эмиграции на изменения в Сербской Православной Церкви, с историей святынь, хранящихся в русских монастырях Фрушка-Горы. 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bitrix/admin/htmleditor2/video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Лектор рассказала о роли русских архитекторов и иконописцев в храмостроительстве Королевства, об истории строительства храма Св. Троицы в Белграде и Иверской часовни на Новом кладбище, о роли русских в сохранении монастыря Высоки-Дечаны в Косово.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http://mosds.mos.ru/presscenter/news/detail/9690353.html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690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690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2024-08-09T19:53:06Z</dcterms:created>
  <dcterms:modified xsi:type="dcterms:W3CDTF">2024-08-09T19:53:06Z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