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d4f440e625ddafe9176631918ba9b21b88751"/>
    <w:p>
      <w:pPr>
        <w:pStyle w:val="Heading3"/>
      </w:pPr>
      <w:r>
        <w:t xml:space="preserve">Дом Москвы поздравил детей Абхазии с Новым годом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t xml:space="preserve">Дом Москвы в Сухуме при финансовой поддержке Департамента внешнеэкономических и международных связей (ДВМС) города Москвы провел кампанию, в ходе которой были переданы новогодние подарки общественным, благотворительным и культурным организациям.</w:t>
      </w:r>
    </w:p>
    <w:p>
      <w:pPr>
        <w:pStyle w:val="BodyText"/>
      </w:pPr>
      <w:r>
        <w:drawing>
          <wp:inline>
            <wp:extent cx="4762500" cy="4762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5f/ng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Подарки для детей были переданы Координационному союзу русских организаций соотечественников Абхазии (КСОРС), объединяющему 19 общественных организаций, а также администрации села Псху Сухумского района, благотворительной общественной организации «Киараз», общественному объединению «Русская община Абхазии», общественной организации «Черноморское Казачье Войско Абхазии» и культурному фонду «Платформа».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http://mosds.mos.ru/presscenter/news/detail/9629197.html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29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29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2025-03-07T08:48:58Z</dcterms:created>
  <dcterms:modified xsi:type="dcterms:W3CDTF">2025-03-07T08:48:58Z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