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3190853628c0207e374288806384a09ef47067"/>
    <w:p>
      <w:pPr>
        <w:pStyle w:val="Heading3"/>
      </w:pPr>
      <w:r>
        <w:t xml:space="preserve">Зачем Екатерина II позвала иностранцев жить в России</w:t>
      </w:r>
    </w:p>
    <w:p>
      <w:pPr>
        <w:pStyle w:val="FirstParagraph"/>
      </w:pPr>
      <w:r>
        <w:t xml:space="preserve">15.12.2020</w:t>
      </w:r>
    </w:p>
    <w:p>
      <w:pPr>
        <w:pStyle w:val="BodyText"/>
      </w:pPr>
      <w:r>
        <w:t xml:space="preserve">Вскоре после своей коронации Екатерина II 15 (4 по старому стилю) декабря 1762 года повелела заселить малообжитые районы Российской империи иностранцами.</w:t>
      </w:r>
    </w:p>
    <w:p>
      <w:pPr>
        <w:pStyle w:val="BodyText"/>
      </w:pPr>
      <w:r>
        <w:drawing>
          <wp:inline>
            <wp:extent cx="5334000" cy="3520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c5/3a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0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Манифест призывал иностранных подданных переселяться в Россию, дискриминационное исключение делалось только для евреев.</w:t>
      </w:r>
    </w:p>
    <w:p>
      <w:pPr>
        <w:pStyle w:val="BodyText"/>
      </w:pPr>
      <w:r>
        <w:t xml:space="preserve">«По вступлении Нашем на Всероссийский Императорский престол, главным правилом Мы себе поставили, чтобы навсегда иметь Наше матернее попечение и труд о тишине и благоденствии всей Нам вверенной от Бога пространной Империи, и о умножении в оной обитателей», — говорилось в документе.</w:t>
      </w:r>
    </w:p>
    <w:p>
      <w:pPr>
        <w:pStyle w:val="BodyText"/>
      </w:pPr>
      <w:r>
        <w:t xml:space="preserve">Также объявлялась амнистия для подданных России, покинувших родину.</w:t>
      </w:r>
    </w:p>
    <w:p>
      <w:pPr>
        <w:pStyle w:val="BodyText"/>
      </w:pPr>
      <w:r>
        <w:t xml:space="preserve">Документ отпечатали по сотне экземпляров на русском, немецком, французском, английском, польском, чешском и арабском языках, а Коллегия иностранных дел разослала его русским дипломатическим агентам за границей.</w:t>
      </w:r>
    </w:p>
    <w:p>
      <w:pPr>
        <w:pStyle w:val="BodyText"/>
      </w:pPr>
      <w:r>
        <w:t xml:space="preserve">В 1763 году последовал второй манифест, в котором определялся перечень льгот и привилегий переселенцам.</w:t>
      </w:r>
    </w:p>
    <w:p>
      <w:pPr>
        <w:pStyle w:val="BodyText"/>
      </w:pPr>
      <w:r>
        <w:t xml:space="preserve">Им гарантировали отправление обрядов по своей вере, свободу от платежа податей на определенное число лет, отвод земель в достаточном количестве, свободу от военной службы, невмешательство чиновников во внутреннюю юрисдикцию. Первыми откликнулись жители многочисленных германских государств.</w:t>
      </w:r>
    </w:p>
    <w:p>
      <w:pPr>
        <w:pStyle w:val="BodyText"/>
      </w:pPr>
      <w:r>
        <w:t xml:space="preserve">Для иностранцев была назначена местность между Доном и Волгой — от села Чердынского до Царицына и далее до безымянной реки, впадающей в Дон, затем вверх Доном до Саратовского уезда и далее до острова Чердынского.</w:t>
      </w:r>
    </w:p>
    <w:p>
      <w:pPr>
        <w:pStyle w:val="BodyText"/>
      </w:pPr>
      <w:r>
        <w:t xml:space="preserve">Первые партии колонистов поселились на территории Саратовской и будущей Самарской губернии, и за время с 1764 по 1766 год образовали 102 колонии.</w:t>
      </w:r>
    </w:p>
    <w:p>
      <w:pPr>
        <w:pStyle w:val="BodyText"/>
      </w:pPr>
      <w:r>
        <w:t xml:space="preserve">Уже в 1766 году пришлось временно приостановить приём новых колонистов, его возобновили только в 1782-м.</w:t>
      </w:r>
    </w:p>
    <w:p>
      <w:pPr>
        <w:pStyle w:val="BodyText"/>
      </w:pPr>
      <w:r>
        <w:t xml:space="preserve">Автор: Дмитрий Гончарук</w:t>
      </w:r>
    </w:p>
    <w:p>
      <w:pPr>
        <w:pStyle w:val="BodyText"/>
      </w:pPr>
      <w:r>
        <w:t xml:space="preserve">Фото: Приезд иноземцев. Картина С.И. Иванова / PUBLIC DOMAIN</w:t>
      </w:r>
    </w:p>
    <w:p>
      <w:pPr>
        <w:pStyle w:val="BodyText"/>
      </w:pPr>
      <w:hyperlink r:id="rId23">
        <w:r>
          <w:rPr>
            <w:rStyle w:val="Hyperlink"/>
          </w:rPr>
          <w:t xml:space="preserve">«Парламентская газета»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http://mosds.mos.ru/presscenter/news/detail/9535330.html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535330.html" TargetMode="External" /><Relationship Type="http://schemas.openxmlformats.org/officeDocument/2006/relationships/hyperlink" Id="rId23" Target="https://www.pnp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535330.html" TargetMode="External" /><Relationship Type="http://schemas.openxmlformats.org/officeDocument/2006/relationships/hyperlink" Id="rId23" Target="https://www.pnp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2024-08-10T02:25:35Z</dcterms:created>
  <dcterms:modified xsi:type="dcterms:W3CDTF">2024-08-10T02:25:35Z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