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россию-возвращается-архив-колчака"/>
    <w:p>
      <w:pPr>
        <w:pStyle w:val="Heading3"/>
      </w:pPr>
      <w:r>
        <w:t xml:space="preserve">В Россию возвращается архив Колчака</w:t>
      </w:r>
    </w:p>
    <w:p>
      <w:pPr>
        <w:pStyle w:val="FirstParagraph"/>
      </w:pPr>
      <w:r>
        <w:t xml:space="preserve">25.11.2019</w:t>
      </w:r>
    </w:p>
    <w:p>
      <w:pPr>
        <w:pStyle w:val="BodyText"/>
      </w:pPr>
      <w:r>
        <w:drawing>
          <wp:inline>
            <wp:extent cx="2819400" cy="2752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7e/kolcha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Париже состоялся аукцион по продаже уникального архива Колчака, в котором принял участие директор Дома русского зарубежья В.А.Москвин.</w:t>
      </w:r>
    </w:p>
    <w:p>
      <w:pPr>
        <w:pStyle w:val="BodyText"/>
      </w:pPr>
      <w:r>
        <w:t xml:space="preserve">На средства меценатов подавляющая часть лотов (всего на продажу выставлялся 391 лот) выкуплена для Дома русского зарубежья им. А.Солженицына и Государственного архива Российской Федерации. Некоторое количество документов будет находиться в российских частных собраниях.</w:t>
      </w:r>
    </w:p>
    <w:p>
      <w:pPr>
        <w:pStyle w:val="BodyText"/>
      </w:pPr>
      <w:r>
        <w:t xml:space="preserve">Помимо документов, ценнейшей переписки Колчака с женой, в Россию также вернутся материалы семей известных флотоводцев Развозовых и Старков, а также материалы по истории российского флота рубежа XIX–XX веков.</w:t>
      </w:r>
    </w:p>
    <w:p>
      <w:pPr>
        <w:pStyle w:val="BodyText"/>
      </w:pPr>
      <w:r>
        <w:t xml:space="preserve">Дом русского зарубежья к 100-летию гибели адмирала Александра Васильевича Колчака в 2020 году планирует организовать выставку приобретенного архива совместно с государственными и частными архивами, участвовавшими в аукционе.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http://mosds.mos.ru/presscenter/news/detail/8512966.html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512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512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2025-01-23T23:51:31Z</dcterms:created>
  <dcterms:modified xsi:type="dcterms:W3CDTF">2025-01-23T23:51:31Z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