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c2eca361b3a4dbd330d166d91a3beea02a58"/>
    <w:p>
      <w:pPr>
        <w:pStyle w:val="Heading3"/>
      </w:pPr>
      <w:r>
        <w:t xml:space="preserve">Соотечественников приглашают принять участие в акции «Окна Победы»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Российское движение детей и молодежи объявило о старте основного этапа акции «Окна Победы». По плану организаторов, участники в преддверии 9 Мая украсят окна патриотическими трафаретами.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Авторы инициативы отобрали 50 эскизов, из которых дизайнеры создали трафареты для оконных полотен.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основу трафаретов легли изображения мемориала "Саур-Могила", Ржевского мемориала, памятника "Родина-мать зовет!", скульптурной композиции "Танковое сражение под Прохоровкой. Таран", мурманского "Алеши", Могилы Неизвестного солдата, магнитогорского монумента "Тыл - фронту", новороссийского мемориала "Малая земля"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Трафареты в честь Дня Победы появятся на окнах посольств РФ и представительств Россотрудничества во многих странах мира, а также в русских школах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http://mosds.mos.ru/presscenter/news/detail/11566835.html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66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66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2023-08-19T06:57:32Z</dcterms:created>
  <dcterms:modified xsi:type="dcterms:W3CDTF">2023-08-19T06:57:32Z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