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4a5e260b872bce243daf11576a7a3f1b01aa2d"/>
    <w:p>
      <w:pPr>
        <w:pStyle w:val="Heading3"/>
      </w:pPr>
      <w:r>
        <w:t xml:space="preserve">В Тегеране планируют открыть культурный центр России</w:t>
      </w:r>
    </w:p>
    <w:p>
      <w:pPr>
        <w:pStyle w:val="FirstParagraph"/>
      </w:pPr>
      <w:r>
        <w:t xml:space="preserve">27.07.2022</w:t>
      </w:r>
    </w:p>
    <w:p>
      <w:pPr>
        <w:pStyle w:val="BodyText"/>
      </w:pPr>
      <w:r>
        <w:drawing>
          <wp:inline>
            <wp:extent cx="5334000" cy="30993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2b/d20ogctgp4n6wcnv7igi6z7nz2xz1rq7/tehranru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99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Россотрудничество надеется на открытие русского культурного центра в Тегеране в ближайшее время. Об этом заявил заместитель руководителя Агентства Павел Шевцов на встрече с советником посольства Исламской Республики Иран в России Хади Гоударзи.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диалога также обсуждалось взаимодействие двух стран в сфере образования. В частности, Шевцов и Гоударзи говорили о начале обмена между российскими и иранскими студентами. Кроме того, стороны рассмотрели возможность реализации совместных образовательных программ и научных проектов. Шевцов подчеркнул, что со стороны российских университетов растёт интерес к сотрудничеству с иранскими партнерами.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июне Минпросвещения сообщило, что число студентов из Ирана в российских вузах за последние три года выросло в 1,8 раза. Сегодня в российских вузах по программам бакалавриата, специалитета и магистратуры получают высшее образование 4,7 тыс. граждан Ирана.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Россотрудничество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http://mosds.mos.ru/presscenter/news/detail/10959324.html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9593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9593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2025-05-09T05:15:38Z</dcterms:created>
  <dcterms:modified xsi:type="dcterms:W3CDTF">2025-05-09T05:15:38Z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