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4892f0f1d699820a98149ccf13cdb710427812"/>
    <w:p>
      <w:pPr>
        <w:pStyle w:val="Heading3"/>
      </w:pPr>
      <w:r>
        <w:t xml:space="preserve">В Душанбе почтили память участников Битвы под Москвой</w:t>
      </w:r>
    </w:p>
    <w:p>
      <w:pPr>
        <w:pStyle w:val="FirstParagraph"/>
      </w:pPr>
      <w:r>
        <w:t xml:space="preserve">08.12.2021</w:t>
      </w:r>
    </w:p>
    <w:p>
      <w:pPr>
        <w:pStyle w:val="BodyText"/>
      </w:pPr>
      <w:r>
        <w:t xml:space="preserve">В Парке Победы г.Душанбе состоялся торжественный митинг, посвященный 80-й годовщине начала контрнаступления советских войск против немецко-фашистских захватчиков в битве под Москвой.</w:t>
      </w:r>
    </w:p>
    <w:p>
      <w:pPr>
        <w:pStyle w:val="BodyText"/>
      </w:pPr>
      <w:r>
        <w:drawing>
          <wp:inline>
            <wp:extent cx="4762500" cy="3171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ca3/80bm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мероприятии приняли участие Посол России в Таджикистане И.С.Лякин-Фролов, заместитель Министра обороны Таджикистана А.Шохиён, аккредитованные в республике послы Белоруссии, Казахстана, Киргизии, Узбекистана, командир 201-й Российской военной базы С.В.Горячев, представители Группы пограничного сотрудничества ФСБ России в Таджикистане, ветеранские организации, воины-интернационалисты, студенты, школьники, в том числе юнармейцы школы №6 при Министерстве обороны России в г.Душанбе.</w:t>
      </w:r>
    </w:p>
    <w:p>
      <w:pPr>
        <w:pStyle w:val="BodyText"/>
      </w:pPr>
      <w:r>
        <w:t xml:space="preserve">«Великая Победа – наше общее достояние. Каждая из союзных республик бывшего СССР внесла свой значимый вклад. При общей численности населения Таджикистана в годы войны около 1,25 миллиона человек более 320 тысяч таджикистанцев – фактически каждый четвертый – с первых дней войны ушли на фронт», – отметил И.С.Лякин-Фролов. Посол России напомнил собравшимся, что в 2021 году именно Президент Таджикистана Э.Рахмон присутствовал на Параде Победы в Москве, что подчеркивает особый характер отношений как между Россией и Таджикистаном, так и лидерами двух стран.</w:t>
      </w:r>
    </w:p>
    <w:p>
      <w:pPr>
        <w:pStyle w:val="BodyText"/>
      </w:pPr>
      <w:r>
        <w:t xml:space="preserve">В Московской битве принимала участие и знаменитая 20-я Таджикская Краснознаменная Горно-кавалерийская дивизия. Кавалеристы из Таджикистана вели тяжелые оборонительные бои, прикрывая отход общевойсковых соединений, участвовали в решительных контрударах по флангам и тылам прорывавшихся группировок противника, дезорганизовывали его управление, подвоз материальных средств.</w:t>
      </w:r>
    </w:p>
    <w:p>
      <w:pPr>
        <w:pStyle w:val="BodyText"/>
      </w:pPr>
      <w:r>
        <w:drawing>
          <wp:inline>
            <wp:extent cx="4762500" cy="317182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18/80bmd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Минутой молчания присутствующие почтили память тех, кто сражался в Московской битве. После в исполнении сводного военного оркестра Министерства обороны Таджикистана и 201-й РВБ прозвучали гимн Таджикистана и гимн России.</w:t>
      </w:r>
    </w:p>
    <w:p>
      <w:pPr>
        <w:pStyle w:val="BodyText"/>
      </w:pPr>
      <w:r>
        <w:t xml:space="preserve">Участники митинга почтили память павших защитников Москвы и возложили венки и цветы к Вечному огню на мемориальном захоронении воинов, умерших в эвакогоспиталях Душанбе от ран, полученных на фронтах Великой Отечественной войны.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http://mosds.mos.ru/presscenter/news/detail/10457456.html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4574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4574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2025-03-11T14:16:08Z</dcterms:created>
  <dcterms:modified xsi:type="dcterms:W3CDTF">2025-03-11T14:16:08Z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