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3d21b5cb427c79a0d9c4be9e4b544ef7789622"/>
    <w:p>
      <w:pPr>
        <w:pStyle w:val="Heading3"/>
      </w:pPr>
      <w:r>
        <w:t xml:space="preserve">Александр Удальцов: России важно получить предложения соотечественников по правозащите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Количество трудностей, с которыми сталкиваются представители российской диаспоры за рубежом, непрерывно возрастает. В этой связи России важно получать от них конструктивные предложения, которые помогут адекватно и действенно реагировать на проявление русофобии за своими рубежами. Об этом заявил исполнительный директор </w:t>
      </w:r>
      <w:hyperlink r:id="rId20">
        <w:r>
          <w:rPr>
            <w:rStyle w:val="Hyperlink"/>
          </w:rPr>
          <w:t xml:space="preserve">Фонда поддержки и защиты прав соотечественников, проживающих за рубежом</w:t>
        </w:r>
      </w:hyperlink>
      <w:r>
        <w:t xml:space="preserve">, Александр Удальцов.</w:t>
      </w:r>
    </w:p>
    <w:p>
      <w:pPr>
        <w:pStyle w:val="BodyText"/>
      </w:pPr>
      <w:r>
        <w:drawing>
          <wp:inline>
            <wp:extent cx="5334000" cy="29968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9d/becda14ffb18a69b1d48cf1ff4c355ec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«Объем работы постоянно увеличивается. К сожалению, конъюнктура складывается так, что трудностей у наших людей за рубежом становится все больше, возникают новые болевые точки», - сказал Александр Удальцов в ходе V</w:t>
      </w:r>
      <w:hyperlink r:id="rId24">
        <w:r>
          <w:rPr>
            <w:rStyle w:val="Hyperlink"/>
          </w:rPr>
          <w:t xml:space="preserve">II Всемирного конгресса российских соотечественников</w:t>
        </w:r>
      </w:hyperlink>
      <w:r>
        <w:t xml:space="preserve">, который 15-16 октября прошел в Москве.</w:t>
      </w:r>
    </w:p>
    <w:p>
      <w:pPr>
        <w:pStyle w:val="BodyText"/>
      </w:pPr>
      <w:r>
        <w:t xml:space="preserve">«Я участвую в Конгрессе впервые. Это очень серьезное мероприятие, позволяющее не просто посмотреть друг другу в глаза, но и высказать соображения, оценки, предложения. В правовой секции было значительное количество сотрудников профильных российских ведомств, которые занимаются работой с соотечественниками. Это говорит о том, что правовые аспекты жизнедеятельности наших соотечественников за рубежом, которые сегодня становятся все более сложными, острыми, являются предметом особой заинтересованности нашей страны», - отметил директор Правфонда.</w:t>
      </w:r>
    </w:p>
    <w:p>
      <w:pPr>
        <w:pStyle w:val="BodyText"/>
      </w:pPr>
      <w:r>
        <w:t xml:space="preserve">«Поэтому такой откровенный разговор весьма важен. И главное, чтобы он вылился в конкретные реализуемые и разумные предложения, а не остался просто полезным и интересным разговором. И такие предложения прозвучали», - заявил Александр Удальцов.</w:t>
      </w:r>
    </w:p>
    <w:p>
      <w:pPr>
        <w:pStyle w:val="BodyText"/>
      </w:pPr>
      <w:r>
        <w:t xml:space="preserve">Секция «Защита прав и законных интересов соотечественников» прошла в рамках VII Всемирного конгресса. В ней приняли участие председателя Комитета Совета Федерации по конституционному законодательству и государственному строительству Владимир Полетаев, член Комитета Совфеда по международным делам Сергей Цеков, уполномоченный МИД России по вопросам прав человека, демократии и верховенства права Григорий Лукьянцев, директор Фонда поддержки и защиты прав соотечественников, проживающих за рубежом, Александр Удальцов, представители Россотрудничества, аппарата Уполномоченного по правам человека в РФ, Международной ассоциации русскоязычных адвокатов, Главного управления по вопросам миграции МВД России и других заинтересованных учреждений и ведомств.</w:t>
      </w:r>
    </w:p>
    <w:p>
      <w:pPr>
        <w:pStyle w:val="BodyText"/>
      </w:pPr>
      <w:r>
        <w:t xml:space="preserve">Участники встречи обсудили наиболее острые вопросы, связанные с защитой прав и законных интересов проживающих за рубежом российских соотечественников, и приняли рекомендации по активизации работы на этом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http://mosds.mos.ru/presscenter/news/detail/10335575.html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35575.html" TargetMode="External" /><Relationship Type="http://schemas.openxmlformats.org/officeDocument/2006/relationships/hyperlink" Id="rId24" Target="https://mosds.mos.ru/presscenter/news/detail/10330910.html" TargetMode="External" /><Relationship Type="http://schemas.openxmlformats.org/officeDocument/2006/relationships/hyperlink" Id="rId20" Target="https://pravfo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35575.html" TargetMode="External" /><Relationship Type="http://schemas.openxmlformats.org/officeDocument/2006/relationships/hyperlink" Id="rId24" Target="https://mosds.mos.ru/presscenter/news/detail/10330910.html" TargetMode="External" /><Relationship Type="http://schemas.openxmlformats.org/officeDocument/2006/relationships/hyperlink" Id="rId20" Target="https://pravfo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2024-08-15T20:52:24Z</dcterms:created>
  <dcterms:modified xsi:type="dcterms:W3CDTF">2024-08-15T20:52:24Z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