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de2572ef31990523ee4ce21e5532ce98802e57"/>
    <w:p>
      <w:pPr>
        <w:pStyle w:val="Heading3"/>
      </w:pPr>
      <w:r>
        <w:t xml:space="preserve">Институт Пушкина определил победителей конкурса грантов для проектов по русскому языку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hyperlink r:id="rId20">
        <w:r>
          <w:rPr>
            <w:rStyle w:val="Hyperlink"/>
          </w:rPr>
          <w:t xml:space="preserve">Институт Пушкина</w:t>
        </w:r>
      </w:hyperlink>
      <w:r>
        <w:t xml:space="preserve"> определил победителей первого Конкурса грантовой поддержки молодёжи СНГ, которые получат финансирование в размере 50 000 рублей на реализацию собственных проектов.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59/3d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Государственный институт русского языка имени А.С. Пушкина при содействии Министерства науки и высшего образования Российской Федерации впервые проводит</w:t>
      </w:r>
      <w:r>
        <w:t xml:space="preserve"> </w:t>
      </w:r>
      <w:hyperlink r:id="rId24">
        <w:r>
          <w:rPr>
            <w:rStyle w:val="Hyperlink"/>
          </w:rPr>
          <w:t xml:space="preserve">Конкурс грантовой поддержки</w:t>
        </w:r>
      </w:hyperlink>
      <w:r>
        <w:t xml:space="preserve"> </w:t>
      </w:r>
      <w:r>
        <w:t xml:space="preserve">гуманитарных исследовательских и проектных инициатив молодёжи имени академика В.Г. Костомарова.</w:t>
      </w:r>
    </w:p>
    <w:p>
      <w:pPr>
        <w:pStyle w:val="BodyText"/>
      </w:pPr>
      <w:r>
        <w:t xml:space="preserve">Конкурс проводится в несколько этапов с 19 июля по 30 декабря 2021 года.</w:t>
      </w:r>
    </w:p>
    <w:p>
      <w:pPr>
        <w:pStyle w:val="BodyText"/>
      </w:pPr>
      <w:r>
        <w:t xml:space="preserve">До 26 августа в оргкомитет поступило 364 заявки из Азербайджана, Армении, Беларуси, Казахстана, Киргизии, Молдовы, России, Таджикистана, Туркменистана, Узбекистана и Украины. Кандидаты предложили свои идеи по двум номинациям:</w:t>
      </w:r>
    </w:p>
    <w:p>
      <w:pPr>
        <w:pStyle w:val="BodyText"/>
      </w:pPr>
      <w:r>
        <w:t xml:space="preserve">– информационно-просветительские проекты;</w:t>
      </w:r>
    </w:p>
    <w:p>
      <w:pPr>
        <w:pStyle w:val="BodyText"/>
      </w:pPr>
      <w:r>
        <w:t xml:space="preserve">– научно-исследовательские проекты.</w:t>
      </w:r>
    </w:p>
    <w:p>
      <w:pPr>
        <w:pStyle w:val="BodyText"/>
      </w:pPr>
      <w:r>
        <w:t xml:space="preserve">«Я считаю, что этот конкурс очень важная и своевременная инициатива Института Пушкина, – рассказывает один из экспертов конкурсного жюри, заведующая лабораторией филологических исследований Института Пушкина Александра Ольховская. – Во-первых, потому что в этом году мы отмечаем 30-летие Содружества Независимых Государств, во-вторых, потому что назрела реальная необходимость в усилении гуманитарного сотрудничества и сплочения стран, в-третьих, потому что положение русского языка на постсоветском пространстве нуждается в объективной оценке.</w:t>
      </w:r>
    </w:p>
    <w:p>
      <w:pPr>
        <w:pStyle w:val="BodyText"/>
      </w:pPr>
      <w:r>
        <w:t xml:space="preserve">В прошлом году, как известно, наш институт провёл глобальный</w:t>
      </w:r>
      <w:r>
        <w:t xml:space="preserve"> </w:t>
      </w:r>
      <w:hyperlink r:id="rId25">
        <w:r>
          <w:rPr>
            <w:rStyle w:val="Hyperlink"/>
          </w:rPr>
          <w:t xml:space="preserve">мониторинг</w:t>
        </w:r>
      </w:hyperlink>
      <w:r>
        <w:t xml:space="preserve"> </w:t>
      </w:r>
      <w:r>
        <w:t xml:space="preserve">устойчивости русского языка в странах СНГ. Мне кажется, что конкурсные проекты помогут в осуществлении дальнейших исследований в этой сфере. Так, в числе проектов-победителей можно увидеть работы, направленные на изучение конкурентоспособности русского языка в странах СНГ, роли русского языка в культурно-языковом ландшафте г. Нур-Султан и функционирования российской рекламы в Казахстане. Мы надеемся, что эти проекты внесут вклад в общий мониторинг Института».</w:t>
      </w:r>
    </w:p>
    <w:p>
      <w:pPr>
        <w:pStyle w:val="BodyText"/>
      </w:pPr>
      <w:r>
        <w:t xml:space="preserve">По итогам экспертной оценки 7 сентября были определены 30 полуфиналистов, которые в период с 13 по 16 сентября презентовали свои проекты членам конкурсной комиссии в онлайн-формате. Проекты оценивались по следующим критериям:</w:t>
      </w:r>
    </w:p>
    <w:p>
      <w:pPr>
        <w:pStyle w:val="BodyText"/>
      </w:pPr>
      <w:r>
        <w:t xml:space="preserve">– актуальность, новизна, социальная/научная значимость проекта (востребованность целевой аудиторией, направленность на решение конкретной значимой проблемы);</w:t>
      </w:r>
    </w:p>
    <w:p>
      <w:pPr>
        <w:pStyle w:val="BodyText"/>
      </w:pPr>
      <w:r>
        <w:t xml:space="preserve">– грамотность и логика изложения;</w:t>
      </w:r>
    </w:p>
    <w:p>
      <w:pPr>
        <w:pStyle w:val="BodyText"/>
      </w:pPr>
      <w:r>
        <w:t xml:space="preserve">– реалистичность и достижимость заявленных результатов проекта в указанные сроки;</w:t>
      </w:r>
    </w:p>
    <w:p>
      <w:pPr>
        <w:pStyle w:val="BodyText"/>
      </w:pPr>
      <w:r>
        <w:t xml:space="preserve">– обоснованность предложенной сметы расходов.</w:t>
      </w:r>
    </w:p>
    <w:p>
      <w:pPr>
        <w:pStyle w:val="BodyText"/>
      </w:pPr>
      <w:r>
        <w:t xml:space="preserve">«Каждая заявка оценивалась экспертами комплексно, – добавляет Александра Игоревна. – Мы учитывали не только содержание проекта (актуальность, новизну, обоснованность), но и его реалистичность. Некоторые проекты не получили зелёный свет из-за чрезмерной масштабности задумки или нечёткой детализации расходов.</w:t>
      </w:r>
    </w:p>
    <w:p>
      <w:pPr>
        <w:pStyle w:val="BodyText"/>
      </w:pPr>
      <w:r>
        <w:t xml:space="preserve">Безусловно, особое значение имела нацеленность проекта на поддержку русского языка в странах СНГ. Это неудивительно, поскольку в качестве приоритетного направления конкурса было обозначено гуманитарное сотрудничество государств-участников СНГ. Соответственно, заявки «просто о русском языке», без привязки к специфике его функционирования на постсоветском пространстве, отсеивались».</w:t>
      </w:r>
    </w:p>
    <w:p>
      <w:pPr>
        <w:pStyle w:val="BodyText"/>
      </w:pPr>
      <w:r>
        <w:t xml:space="preserve">Александра Ольховская отметила, что наиболее сильной стороной представленных проектов стала погруженность в современный молодежный контекст:</w:t>
      </w:r>
    </w:p>
    <w:p>
      <w:pPr>
        <w:pStyle w:val="BodyText"/>
      </w:pPr>
      <w:r>
        <w:t xml:space="preserve">«Конкурсанты обращались к поэзии молодых авторов, стремились задействовать актуальные коммуникативные площадки (социальные сети, мессенджеры, видеохостинги), использовали инновационные форматы обучения русскому языку (через порталы, интерактивные курсы и т.п.). Сам выбор тематики проектов в этом смысле был показательным – он позволял увидеть взгляд молодёжи на вопросы изучения, преподавания и продвижения русского языка».</w:t>
      </w:r>
    </w:p>
    <w:p>
      <w:pPr>
        <w:pStyle w:val="BodyText"/>
      </w:pPr>
      <w:r>
        <w:t xml:space="preserve">Институт Пушкина поздравляет</w:t>
      </w:r>
      <w:r>
        <w:t xml:space="preserve"> </w:t>
      </w:r>
      <w:hyperlink r:id="rId26">
        <w:r>
          <w:rPr>
            <w:rStyle w:val="Hyperlink"/>
          </w:rPr>
          <w:t xml:space="preserve">победителей Конкурса</w:t>
        </w:r>
      </w:hyperlink>
      <w:r>
        <w:t xml:space="preserve">.</w:t>
      </w:r>
    </w:p>
    <w:p>
      <w:pPr>
        <w:pStyle w:val="BodyText"/>
      </w:pPr>
      <w:r>
        <w:t xml:space="preserve">Далее финалистов ожидает подписание соглашений с Институтом, получение грантов, реализация проектов до 30 ноября 2021 года, а в декабре все победители встретятся в Москве, где презентуют результаты своей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http://mosds.mos.ru/presscenter/news/detail/10269840.html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69840.html" TargetMode="External" /><Relationship Type="http://schemas.openxmlformats.org/officeDocument/2006/relationships/hyperlink" Id="rId25" Target="http://pushkin.institute/news/index1.pdf" TargetMode="External" /><Relationship Type="http://schemas.openxmlformats.org/officeDocument/2006/relationships/hyperlink" Id="rId26" Target="https://docs.google.com/spreadsheets/d/1EtAmSjyDprFhLM9Zxp2OWz_xi6MI3SZG9wsltIHadyM/edit?usp=sharing" TargetMode="External" /><Relationship Type="http://schemas.openxmlformats.org/officeDocument/2006/relationships/hyperlink" Id="rId24" Target="https://mosds.mos.ru/presscenter/news/detail/10188537.html?sphrase_id=407365393" TargetMode="External" /><Relationship Type="http://schemas.openxmlformats.org/officeDocument/2006/relationships/hyperlink" Id="rId20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69840.html" TargetMode="External" /><Relationship Type="http://schemas.openxmlformats.org/officeDocument/2006/relationships/hyperlink" Id="rId25" Target="http://pushkin.institute/news/index1.pdf" TargetMode="External" /><Relationship Type="http://schemas.openxmlformats.org/officeDocument/2006/relationships/hyperlink" Id="rId26" Target="https://docs.google.com/spreadsheets/d/1EtAmSjyDprFhLM9Zxp2OWz_xi6MI3SZG9wsltIHadyM/edit?usp=sharing" TargetMode="External" /><Relationship Type="http://schemas.openxmlformats.org/officeDocument/2006/relationships/hyperlink" Id="rId24" Target="https://mosds.mos.ru/presscenter/news/detail/10188537.html?sphrase_id=407365393" TargetMode="External" /><Relationship Type="http://schemas.openxmlformats.org/officeDocument/2006/relationships/hyperlink" Id="rId20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2025-08-05T06:58:59Z</dcterms:created>
  <dcterms:modified xsi:type="dcterms:W3CDTF">2025-08-05T06:58:59Z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