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b6b1f9ad59760d08e1fc4978d1acf8ca4e4539"/>
    <w:p>
      <w:pPr>
        <w:pStyle w:val="Heading3"/>
      </w:pPr>
      <w:r>
        <w:t xml:space="preserve">В ОП РФ прошел круглый стол «Общественное наблюдение на избирательных участках за рубежом»</w:t>
      </w:r>
    </w:p>
    <w:p>
      <w:pPr>
        <w:pStyle w:val="FirstParagraph"/>
      </w:pPr>
      <w:r>
        <w:t xml:space="preserve">01.09.2021</w:t>
      </w:r>
    </w:p>
    <w:p>
      <w:pPr>
        <w:pStyle w:val="BodyText"/>
      </w:pPr>
      <w:r>
        <w:t xml:space="preserve">В</w:t>
      </w:r>
      <w:r>
        <w:t xml:space="preserve"> </w:t>
      </w:r>
      <w:hyperlink r:id="rId20">
        <w:r>
          <w:rPr>
            <w:rStyle w:val="Hyperlink"/>
          </w:rPr>
          <w:t xml:space="preserve">Общественной палате Российской Федерации</w:t>
        </w:r>
      </w:hyperlink>
      <w:r>
        <w:t xml:space="preserve"> </w:t>
      </w:r>
      <w:r>
        <w:t xml:space="preserve">(ОП РФ) 31 августа прошел круглый стол «Общественное наблюдение на избирательных участках за рубежом».</w:t>
      </w:r>
    </w:p>
    <w:p>
      <w:pPr>
        <w:pStyle w:val="BodyText"/>
      </w:pPr>
      <w:r>
        <w:drawing>
          <wp:inline>
            <wp:extent cx="5238750" cy="2514600"/>
            <wp:effectExtent b="0" l="0" r="0" t="0"/>
            <wp:docPr descr="" title="" id="22" name="Picture"/>
            <a:graphic>
              <a:graphicData uri="http://schemas.openxmlformats.org/drawingml/2006/picture">
                <pic:pic>
                  <pic:nvPicPr>
                    <pic:cNvPr descr="/mnt/u01/sites/mosds.mos.ru/www/upload/medialibrary/dd1/op.jpg" id="23" name="Picture"/>
                    <pic:cNvPicPr>
                      <a:picLocks noChangeArrowheads="1" noChangeAspect="1"/>
                    </pic:cNvPicPr>
                  </pic:nvPicPr>
                  <pic:blipFill>
                    <a:blip r:embed="rId21"/>
                    <a:stretch>
                      <a:fillRect/>
                    </a:stretch>
                  </pic:blipFill>
                  <pic:spPr bwMode="auto">
                    <a:xfrm>
                      <a:off x="0" y="0"/>
                      <a:ext cx="5238750" cy="2514600"/>
                    </a:xfrm>
                    <a:prstGeom prst="rect">
                      <a:avLst/>
                    </a:prstGeom>
                    <a:noFill/>
                    <a:ln w="9525">
                      <a:noFill/>
                      <a:headEnd/>
                      <a:tailEnd/>
                    </a:ln>
                  </pic:spPr>
                </pic:pic>
              </a:graphicData>
            </a:graphic>
          </wp:inline>
        </w:drawing>
      </w:r>
    </w:p>
    <w:p>
      <w:pPr>
        <w:pStyle w:val="BodyText"/>
      </w:pPr>
      <w:r>
        <w:t xml:space="preserve">В Общественной палате собрались: Посол по особым поручениям МИД РФ Геннадий Аскальдович; член Центральной избирательной комиссии (ЦИК) России Павел Андреев; зампредседателя Координационного совета ОП РФ по общественному контролю за голосованием Алена Булгакова; первый заместитель исполнительного директора Фонда поддержки и защиты прав соотечественников за рубежом Владимир Поздоровкин; общественный наблюдатель на выборах в Испании, директор Русской школы N 1 в Марбелье Ирина Чистякова; члены ОП РФ.</w:t>
      </w:r>
    </w:p>
    <w:p>
      <w:pPr>
        <w:pStyle w:val="BodyText"/>
      </w:pPr>
      <w:r>
        <w:t xml:space="preserve">Модератором выступил председатель Координационного совета ОП РФ по общественному контролю за голосованием Максим Григорьев.</w:t>
      </w:r>
    </w:p>
    <w:p>
      <w:pPr>
        <w:pStyle w:val="BodyText"/>
      </w:pPr>
      <w:r>
        <w:t xml:space="preserve">Эксперты объяснили соотечественникам, которые на выборах в сентябре выступят общественными наблюдателями, специфику контроля за голосованием, ответили вопросы. К мероприятию в режиме онлайн присоединились около 70 наблюдателей более чем из 20 стран.</w:t>
      </w:r>
    </w:p>
    <w:p>
      <w:pPr>
        <w:pStyle w:val="BodyText"/>
      </w:pPr>
      <w:r>
        <w:t xml:space="preserve">«Это те люди, которые будут наблюдать за тем, как проходят выборы на зарубежных участках, в наших посольствах, представительствах за рубежом. Планируем, что на выборах на зарубежных участках будет работать более 200 наблюдателей, наших граждан. Мы подготовили “золотой стандарт” общественного наблюдения и предполагаем, что вы будете руководствоваться им при ваших оценках и наблюдении за выборами», — сказал Максим Григорьев.</w:t>
      </w:r>
    </w:p>
    <w:p>
      <w:pPr>
        <w:pStyle w:val="BodyText"/>
      </w:pPr>
      <w:r>
        <w:t xml:space="preserve">Геннадий Аскальдович порекомендовал наблюдателям пользоваться «золотым стандартом», регламентирующим порядок и принципы контроля за голосованием, но без лишнего фанатизма: «Не придирались к мелочам, а следовали главному принципу — избиратель должен иметь возможность для свободного волеизъявления, а на участке должны четко осуществляться итоговые подсчеты этого волеизъявления».</w:t>
      </w:r>
    </w:p>
    <w:p>
      <w:pPr>
        <w:pStyle w:val="BodyText"/>
      </w:pPr>
      <w:r>
        <w:t xml:space="preserve">Информирование отдельных лиц за границей о том, что они определены наблюдателями от Общественной палаты России, проводит сама ОП РФ, запрос на трехдневное голосование сделало около 20 заграничных учреждений. «Очень много мы будем проводить досрочных выездных голосований. Это эффективная форма, потому что она позволяет пригласить на выборы большое количество граждан, которые живут в провинции», — пояснил Геннадий Аскальдович.</w:t>
      </w:r>
    </w:p>
    <w:p>
      <w:pPr>
        <w:pStyle w:val="BodyText"/>
      </w:pPr>
      <w:r>
        <w:t xml:space="preserve">Впервые работа общественных наблюдателей была апробирована на избирательных участках за рубежом в прошлом году, напомнил Павел Андреев.</w:t>
      </w:r>
    </w:p>
    <w:p>
      <w:pPr>
        <w:pStyle w:val="BodyText"/>
      </w:pPr>
      <w:r>
        <w:t xml:space="preserve">«Возможно, не все пожелания учтены — за рубежом проживает много граждан, и хочется, чтобы избирательная урна добралась до каждого, но возможности МИД не безграничны. Мы не гонимся за явкой, а делаем максимально возможное, чтобы граждане России за рубежом имели возможность реализовать свое избирательное право. Хочу подчеркнуть, что Российская Федерация — единственная страна с настоящим демократическим подходом к организации голосования за рубежом», — сказал представитель ЦИК России.</w:t>
      </w:r>
    </w:p>
    <w:p>
      <w:pPr>
        <w:pStyle w:val="BodyText"/>
      </w:pPr>
      <w:r>
        <w:t xml:space="preserve">Павел Андреев отметил, что, в этом году за рубежом будет организовано 355 избирательных участков, однако не все они будут покрыты общественным наблюдением.</w:t>
      </w:r>
    </w:p>
    <w:p>
      <w:pPr>
        <w:pStyle w:val="BodyText"/>
      </w:pPr>
      <w:r>
        <w:t xml:space="preserve">Владимир Поздоровкин рассказал, что Правфонд финансирует 24 центра правовой помощи соотечественникам в 18 странах мира: «Они оказывают бесплатные юридические консультации. Я не исключаю, что соотечественники, желающие принять участие в голосовании, могут обратиться в центры. Убежден, что вся необходимая помощь им будет оказана. Второй момент — у наших центров есть свои сайты, они ведут юридические рубрики в русскоязычных СМИ. Это тоже место приложения усилий в интересах организации избирательного процесса и участия в нем граждан РФ за рубежом».</w:t>
      </w:r>
    </w:p>
    <w:p>
      <w:pPr>
        <w:pStyle w:val="BodyText"/>
      </w:pPr>
      <w:r>
        <w:t xml:space="preserve">Алена Булгакова, отметила, что ОП РФ совместно с «Независимым общественным мониторином», Ассоциацией юристов России, корпусом «За чистые выборы» максимально сосредоточены, чтобы не оставлять наблюдателей с какой-то проблемой, где бы они ни находились. В этих целях будет работать ситуационный центр.</w:t>
      </w:r>
    </w:p>
    <w:p>
      <w:pPr>
        <w:pStyle w:val="BodyText"/>
      </w:pPr>
      <w:r>
        <w:t xml:space="preserve">Напомним, что представитель Московского Дома соотечественника (МДС)</w:t>
      </w:r>
      <w:r>
        <w:t xml:space="preserve"> </w:t>
      </w:r>
      <w:hyperlink r:id="rId24">
        <w:r>
          <w:rPr>
            <w:rStyle w:val="Hyperlink"/>
          </w:rPr>
          <w:t xml:space="preserve">входит в состав</w:t>
        </w:r>
      </w:hyperlink>
      <w:r>
        <w:t xml:space="preserve"> </w:t>
      </w:r>
      <w:r>
        <w:t xml:space="preserve">Рабочей группы по координации работ, связанных с организацией голосования на избирательных участках, образованных за пределами территории Российской Федерации, на выборах депутатов Государственной Думы восьмого созыва.</w:t>
      </w:r>
    </w:p>
    <w:p>
      <w:pPr>
        <w:pStyle w:val="BodyText"/>
      </w:pPr>
      <w:r>
        <w:t xml:space="preserve">Фото: Иhина Чистякова / Фейсбук</w:t>
      </w:r>
    </w:p>
    <w:p>
      <w:pPr>
        <w:pStyle w:val="BodyText"/>
      </w:pPr>
      <w:r>
        <w:br/>
      </w:r>
    </w:p>
    <w:p>
      <w:pPr>
        <w:pStyle w:val="BodyText"/>
      </w:pPr>
      <w:r>
        <w:t xml:space="preserve">Адрес страницы:</w:t>
      </w:r>
      <w:r>
        <w:t xml:space="preserve"> </w:t>
      </w:r>
      <w:hyperlink r:id="rId25">
        <w:r>
          <w:rPr>
            <w:rStyle w:val="Hyperlink"/>
          </w:rPr>
          <w:t xml:space="preserve">http://mosds.mos.ru/presscenter/news/detail/10221231.html</w:t>
        </w:r>
      </w:hyperlink>
    </w:p>
    <w:p>
      <w:pPr>
        <w:pStyle w:val="BodyText"/>
      </w:pPr>
      <w:hyperlink r:id="rId26">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hyperlink" Id="rId26" Target="http://mosds.mos.ru" TargetMode="External" /><Relationship Type="http://schemas.openxmlformats.org/officeDocument/2006/relationships/hyperlink" Id="rId25" Target="http://mosds.mos.ru/presscenter/news/detail/10221231.html" TargetMode="External" /><Relationship Type="http://schemas.openxmlformats.org/officeDocument/2006/relationships/hyperlink" Id="rId24" Target="https://mosds.mos.ru/presscenter/news/detail/10175225.html?sphrase_id=402306793" TargetMode="External" /><Relationship Type="http://schemas.openxmlformats.org/officeDocument/2006/relationships/hyperlink" Id="rId20" Target="https://www.oprf.ru/" TargetMode="External" /></Relationships>
</file>

<file path=word/_rels/footnotes.xml.rels><?xml version="1.0" encoding="UTF-8"?><Relationships xmlns="http://schemas.openxmlformats.org/package/2006/relationships"><Relationship Type="http://schemas.openxmlformats.org/officeDocument/2006/relationships/hyperlink" Id="rId26" Target="http://mosds.mos.ru" TargetMode="External" /><Relationship Type="http://schemas.openxmlformats.org/officeDocument/2006/relationships/hyperlink" Id="rId25" Target="http://mosds.mos.ru/presscenter/news/detail/10221231.html" TargetMode="External" /><Relationship Type="http://schemas.openxmlformats.org/officeDocument/2006/relationships/hyperlink" Id="rId24" Target="https://mosds.mos.ru/presscenter/news/detail/10175225.html?sphrase_id=402306793" TargetMode="External" /><Relationship Type="http://schemas.openxmlformats.org/officeDocument/2006/relationships/hyperlink" Id="rId20" Target="https://www.oprf.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2024-07-01T22:24:30Z</dcterms:created>
  <dcterms:modified xsi:type="dcterms:W3CDTF">2024-07-01T22:24:30Z</dcterms:modified>
</cp:coreProperties>
</file>

<file path=docProps/custom.xml><?xml version="1.0" encoding="utf-8"?>
<Properties xmlns="http://schemas.openxmlformats.org/officeDocument/2006/custom-properties" xmlns:vt="http://schemas.openxmlformats.org/officeDocument/2006/docPropsVTypes"/>
</file>