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c4f044ecbd5409d9f52eb374e133e12239f894"/>
    <w:p>
      <w:pPr>
        <w:pStyle w:val="Heading3"/>
      </w:pPr>
      <w:r>
        <w:t xml:space="preserve">МДС принял участие в заседании Рабочей группы ЦИК по вопросам организации голосования за рубежом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t xml:space="preserve">10 августа в</w:t>
      </w:r>
      <w:r>
        <w:t xml:space="preserve"> </w:t>
      </w:r>
      <w:hyperlink r:id="rId20">
        <w:r>
          <w:rPr>
            <w:rStyle w:val="Hyperlink"/>
          </w:rPr>
          <w:t xml:space="preserve">ЦИК России</w:t>
        </w:r>
      </w:hyperlink>
      <w:r>
        <w:t xml:space="preserve"> </w:t>
      </w:r>
      <w:r>
        <w:t xml:space="preserve">состоялось заседание Рабочей группы по координации работ, связанных с организацией голосования на избирательных участках, образованных за пределами территории Российской Федерации, на выборах депутатов Государственной Думы восьмого созыва. В заседании принял участие член Рабочей группы, начальник отдела по региональному сотрудничеству Московского Дома соотечественника (МДС) Владислав Курнушко.</w:t>
      </w:r>
    </w:p>
    <w:p>
      <w:pPr>
        <w:pStyle w:val="BodyText"/>
      </w:pPr>
      <w:r>
        <w:drawing>
          <wp:inline>
            <wp:extent cx="4762500" cy="31623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5f/zi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Рабочая группа рассмотрела вопросы о ходе образования избирательных участков за рубежом, нумерации зарубежных избирательных участков, доставки зарубежным комиссиям избирательных бюллетеней и специальных марок, информирования о предстоящих выборах, использования цифровых сервисов и ресурсов.</w:t>
      </w:r>
    </w:p>
    <w:p>
      <w:pPr>
        <w:pStyle w:val="BodyText"/>
      </w:pPr>
      <w:r>
        <w:t xml:space="preserve">Вопросы повестки касались, как постоянно проживающих за границей и командированных на длительный срок российских граждан, так и тех россиян, кто планирует 17, 18, 19 сентября находиться за рубежом в краткосрочной поездке. Все они смогут проголосовать досрочно и в дни голосования на одном из 348 избирательных участков, расположенных в 144 странах.</w:t>
      </w:r>
    </w:p>
    <w:p>
      <w:pPr>
        <w:pStyle w:val="BodyText"/>
      </w:pPr>
      <w:r>
        <w:t xml:space="preserve">«Для избирателей, проживающих в семи регионах России, которые будут использовать на выборах дистанционное электронное голосование, есть возможность проголосовать из любой точки земного шара на всех уровнях выборов. Естественно, для этого необходим личный кабинет и подтвержденная запись на портале «Госуслуги», а также смартфон с российской сим-картой», − отметил руководитель Рабочей группы, заместитель Председателя ЦИК России Николай Булаев.</w:t>
      </w:r>
    </w:p>
    <w:p>
      <w:pPr>
        <w:pStyle w:val="BodyText"/>
      </w:pPr>
      <w:r>
        <w:drawing>
          <wp:inline>
            <wp:extent cx="4762500" cy="31623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c4/zik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«Голосование за рубежом для россиян будет иметь заявительный характер, − сообщил член ЦИК России Павел Андреев. − Они смогут прийти на участок с паспортом и проголосовать. Для этого не потребуется заранее регистрироваться при дипломатических представительствах или консульствах».</w:t>
      </w:r>
    </w:p>
    <w:p>
      <w:pPr>
        <w:pStyle w:val="BodyText"/>
      </w:pPr>
      <w:r>
        <w:t xml:space="preserve">Участники рабочей группы обменялись мнениями об использовании института досрочного голосования избирателей, противодействия потенциальным попыткам «двойного голосования», голосовании сотрудников госкорпораций, находящихся за рубежом.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http://mosds.mos.ru/presscenter/news/detail/10175225.html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175225.html" TargetMode="External" /><Relationship Type="http://schemas.openxmlformats.org/officeDocument/2006/relationships/hyperlink" Id="rId20" Target="http://www.cik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175225.html" TargetMode="External" /><Relationship Type="http://schemas.openxmlformats.org/officeDocument/2006/relationships/hyperlink" Id="rId20" Target="http://www.cik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2025-03-13T15:14:08Z</dcterms:created>
  <dcterms:modified xsi:type="dcterms:W3CDTF">2025-03-13T15:14:08Z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