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8b5e9b06a4427d8fd46a14779739baa965017a"/>
    <w:p>
      <w:pPr>
        <w:pStyle w:val="Heading3"/>
      </w:pPr>
      <w:r>
        <w:t xml:space="preserve">Сергей Лавров: У ЕС нет замечаний к вакцине «Спутник V»</w:t>
      </w:r>
    </w:p>
    <w:p>
      <w:pPr>
        <w:pStyle w:val="FirstParagraph"/>
      </w:pPr>
      <w:r>
        <w:t xml:space="preserve">05.08.2021</w:t>
      </w:r>
    </w:p>
    <w:p>
      <w:pPr>
        <w:pStyle w:val="BodyText"/>
      </w:pPr>
      <w:r>
        <w:drawing>
          <wp:inline>
            <wp:extent cx="3333750" cy="1962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fd/s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 фармлегулятора Евросоюза нет замечаний к российской вакцине «Спутник V», заявил Министр иностранных дел Российской Федерации С.В.Лавров</w:t>
      </w:r>
      <w:r>
        <w:t xml:space="preserve"> </w:t>
      </w:r>
      <w:hyperlink r:id="rId23">
        <w:r>
          <w:rPr>
            <w:rStyle w:val="Hyperlink"/>
          </w:rPr>
          <w:t xml:space="preserve">в интервью газете «Комсомольская правда»</w:t>
        </w:r>
      </w:hyperlink>
      <w:r>
        <w:t xml:space="preserve">.</w:t>
      </w:r>
    </w:p>
    <w:p>
      <w:pPr>
        <w:pStyle w:val="BodyText"/>
      </w:pPr>
      <w:r>
        <w:t xml:space="preserve">В настоящее время вакцина «Спутник V» проходит «последовательную экспертизу» в Европейском агентстве по лекарственным средствам (EMA). В апреле-мае есовцы посетили медицинские учреждения в Москве, задействованные в клинических испытаниях «Спутника V», а также производственные площадки. Сотрудники EMA находятся в прямом рабочем контакте с представителями Минздрава и Минпромторга России. «По нашей информации, замечаний к самой вакцине и степени её эффективности нет. Исходим из того, что вопрос находится в плоскости деполитизированного и профессионального диалога между профильными структурами», - заявил Сергей Лавров.</w:t>
      </w:r>
    </w:p>
    <w:p>
      <w:pPr>
        <w:pStyle w:val="BodyText"/>
      </w:pPr>
      <w:r>
        <w:t xml:space="preserve">При этом министр отметил, что по мере более широкого использования «Спутника V» со стороны отдельных представителей ЕС и его стран-членов повышается градус агрессивной риторики. Звучат и прямые призывы вообще не допускать проникновения «Спутника V» и привитых им иностранцев на территорию ЕС.</w:t>
      </w:r>
    </w:p>
    <w:p>
      <w:pPr>
        <w:pStyle w:val="BodyText"/>
      </w:pPr>
      <w:r>
        <w:t xml:space="preserve">На сегодняшний день «Спутник V»</w:t>
      </w:r>
      <w:r>
        <w:t xml:space="preserve"> </w:t>
      </w:r>
      <w:hyperlink r:id="rId24">
        <w:r>
          <w:rPr>
            <w:rStyle w:val="Hyperlink"/>
          </w:rPr>
          <w:t xml:space="preserve">используется</w:t>
        </w:r>
      </w:hyperlink>
      <w:r>
        <w:t xml:space="preserve"> </w:t>
      </w:r>
      <w:r>
        <w:t xml:space="preserve">в почти в 70 странах мира, в том числе восьми европейских – Венгрии, Боснии и Герцеговине, Молдавии, Сан-Марино, Северной Македонии, Словакии, Сербии, Черногории.</w:t>
      </w:r>
    </w:p>
    <w:p>
      <w:pPr>
        <w:pStyle w:val="BodyText"/>
      </w:pPr>
      <w:r>
        <w:t xml:space="preserve">Есть договоренности о локализации производства «Спутника V» на зарубежных площадках, в том числе в Белоруссии, Бразилии, Индии, Казахстане, Китае, Южной Корее.</w:t>
      </w:r>
    </w:p>
    <w:p>
      <w:pPr>
        <w:pStyle w:val="BodyText"/>
      </w:pPr>
      <w:r>
        <w:t xml:space="preserve">Отметим, что по заявлению Российского фонда прямых инвестиций (</w:t>
      </w:r>
      <w:hyperlink r:id="rId25">
        <w:r>
          <w:rPr>
            <w:rStyle w:val="Hyperlink"/>
          </w:rPr>
          <w:t xml:space="preserve">РФПИ</w:t>
        </w:r>
      </w:hyperlink>
      <w:r>
        <w:t xml:space="preserve">), комбинация первого компонента вакцины «Спутник V» (препарат «Спутник Лайт») с вакцинами AstraZeneca, Sinopharm и Moderna демонстрирует высокие показатели безопасности в ходе исследования в аргентинской провинции Буэнос-Айрес.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http://mosds.mos.ru/presscenter/news/detail/10158888.html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158888.html" TargetMode="External" /><Relationship Type="http://schemas.openxmlformats.org/officeDocument/2006/relationships/hyperlink" Id="rId24" Target="https://mosds.mos.ru/presscenter/news/detail/10125670.html?sphrase_id=399686359" TargetMode="External" /><Relationship Type="http://schemas.openxmlformats.org/officeDocument/2006/relationships/hyperlink" Id="rId25" Target="https://rdif.ru/" TargetMode="External" /><Relationship Type="http://schemas.openxmlformats.org/officeDocument/2006/relationships/hyperlink" Id="rId23" Target="https://www.mid.ru/ru/foreign_policy/news/-/asset_publisher/cKNonkJE02Bw/content/id/48344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158888.html" TargetMode="External" /><Relationship Type="http://schemas.openxmlformats.org/officeDocument/2006/relationships/hyperlink" Id="rId24" Target="https://mosds.mos.ru/presscenter/news/detail/10125670.html?sphrase_id=399686359" TargetMode="External" /><Relationship Type="http://schemas.openxmlformats.org/officeDocument/2006/relationships/hyperlink" Id="rId25" Target="https://rdif.ru/" TargetMode="External" /><Relationship Type="http://schemas.openxmlformats.org/officeDocument/2006/relationships/hyperlink" Id="rId23" Target="https://www.mid.ru/ru/foreign_policy/news/-/asset_publisher/cKNonkJE02Bw/content/id/48344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2024-08-15T23:35:00Z</dcterms:created>
  <dcterms:modified xsi:type="dcterms:W3CDTF">2024-08-15T23:35:00Z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