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2a652e836ac4ab3cc599bd342624d6e1f9998"/>
    <w:p>
      <w:pPr>
        <w:pStyle w:val="Heading3"/>
      </w:pPr>
      <w:r>
        <w:t xml:space="preserve">Участки на выборах в Госдуму откроют в большинстве стран мира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На выборах в Госдуму планируется открыть 348 избирательных участков за рубежом, в том числе четыре на Украине, рассказала</w:t>
      </w:r>
      <w:r>
        <w:t xml:space="preserve"> </w:t>
      </w:r>
      <w:hyperlink r:id="rId20">
        <w:r>
          <w:rPr>
            <w:rStyle w:val="Hyperlink"/>
          </w:rPr>
          <w:t xml:space="preserve">РИА Новости</w:t>
        </w:r>
      </w:hyperlink>
      <w:r>
        <w:t xml:space="preserve"> </w:t>
      </w:r>
      <w:r>
        <w:t xml:space="preserve">председатель ЦИК России Элла Памфилова.</w:t>
      </w:r>
    </w:p>
    <w:p>
      <w:pPr>
        <w:pStyle w:val="BodyText"/>
      </w:pPr>
      <w:r>
        <w:drawing>
          <wp:inline>
            <wp:extent cx="4286250" cy="3429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43/19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Зарубежные участки на выборах в Госдуму откроют в большинстве стран мира, за исключением Йемена, Ливии и Грузии.</w:t>
      </w:r>
    </w:p>
    <w:p>
      <w:pPr>
        <w:pStyle w:val="BodyText"/>
      </w:pPr>
      <w:r>
        <w:t xml:space="preserve">Голосование пройдет с 17 по 19 сентября. Россиянам предстоит избрать на пять лет 225 депутатов по партийным спискам, еще 225 — по одномандатным округам.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http://mosds.mos.ru/presscenter/news/detail/10155631.html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5631.html" TargetMode="External" /><Relationship Type="http://schemas.openxmlformats.org/officeDocument/2006/relationships/hyperlink" Id="rId20" Target="https://ri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5631.html" TargetMode="External" /><Relationship Type="http://schemas.openxmlformats.org/officeDocument/2006/relationships/hyperlink" Id="rId20" Target="https://ri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2025-07-23T08:41:16Z</dcterms:created>
  <dcterms:modified xsi:type="dcterms:W3CDTF">2025-07-23T08:41:16Z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