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c66cb6877fac54c9ff277d8645a5295518934b"/>
    <w:p>
      <w:pPr>
        <w:pStyle w:val="Heading3"/>
      </w:pPr>
      <w:r>
        <w:t xml:space="preserve">Россотрудничество будет давать микрогранты на культурные мероприятия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t xml:space="preserve">Россотрудничество организует финансовый фонд Общественного совета по выдаче микрогрантов на культурные мероприятия. Решение было принято 20 июля на заседании совета, сообщил</w:t>
      </w:r>
      <w:r>
        <w:t xml:space="preserve"> </w:t>
      </w:r>
      <w:hyperlink r:id="rId20">
        <w:r>
          <w:rPr>
            <w:rStyle w:val="Hyperlink"/>
          </w:rPr>
          <w:t xml:space="preserve">Русский дом</w:t>
        </w:r>
      </w:hyperlink>
      <w:r>
        <w:t xml:space="preserve">.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cc/rsgov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настоящее время заканчивается процесс формирования всех документов, в соответствии с которыми эти гранты будут выдаваться, и в ближайшее время всё это будет в общественном доступе», – сообщил заместитель руководителя Россотрудничества Алексей Полковников на видеоконференции Фонда поддержки и защиты прав соотечественников, проживающих за рубежом.</w:t>
      </w:r>
    </w:p>
    <w:p>
      <w:pPr>
        <w:pStyle w:val="BodyText"/>
      </w:pPr>
      <w:r>
        <w:t xml:space="preserve">По словам Алексея Полковникова, размер микрогрантов составит от 300 до 1000 долларов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http://mosds.mos.ru/presscenter/news/detail/10125737.html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25737.html" TargetMode="External" /><Relationship Type="http://schemas.openxmlformats.org/officeDocument/2006/relationships/hyperlink" Id="rId20" Target="https://www.facebook.com/rsg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25737.html" TargetMode="External" /><Relationship Type="http://schemas.openxmlformats.org/officeDocument/2006/relationships/hyperlink" Id="rId20" Target="https://www.facebook.com/rsg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2024-08-16T00:03:49Z</dcterms:created>
  <dcterms:modified xsi:type="dcterms:W3CDTF">2024-08-16T00:03:49Z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