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2a2a035f5af81bdb22ce632e2e12d27bc9386"/>
    <w:p>
      <w:pPr>
        <w:pStyle w:val="Heading3"/>
      </w:pPr>
      <w:r>
        <w:t xml:space="preserve">Российские диппредставительства организуют избирательный процесс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drawing>
          <wp:inline>
            <wp:extent cx="5334000" cy="42271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35/mi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Коллегия МИД России рассмотрела вопрос о подготовке учреждений Министерства к проведению 19 сентября 2021 года выборов депутатов Государственной Думы.</w:t>
      </w:r>
    </w:p>
    <w:p>
      <w:pPr>
        <w:pStyle w:val="BodyText"/>
      </w:pPr>
      <w:r>
        <w:t xml:space="preserve">Заседание Коллегии МИД России на тему «Европейское направление внешней политики Российской Федерации»</w:t>
      </w:r>
      <w:r>
        <w:t xml:space="preserve"> </w:t>
      </w:r>
      <w:hyperlink r:id="rId23">
        <w:r>
          <w:rPr>
            <w:rStyle w:val="Hyperlink"/>
          </w:rPr>
          <w:t xml:space="preserve">состоялось</w:t>
        </w:r>
      </w:hyperlink>
      <w:r>
        <w:t xml:space="preserve"> </w:t>
      </w:r>
      <w:r>
        <w:t xml:space="preserve">29 июня под председательством Министра иностранных дел С.В.Лаврова.</w:t>
      </w:r>
    </w:p>
    <w:p>
      <w:pPr>
        <w:pStyle w:val="BodyText"/>
      </w:pPr>
      <w:r>
        <w:t xml:space="preserve">Определены ключевые направления деятельности Министерства на период избирательной кампании.</w:t>
      </w:r>
    </w:p>
    <w:p>
      <w:pPr>
        <w:pStyle w:val="BodyText"/>
      </w:pPr>
      <w:r>
        <w:t xml:space="preserve">Подразделения и диппредставительства МИД готовы создать все необходимые условия для реализации гражданами, находящимися за границей, своего конституционного права. Проводятся соответствующие организационно-технические мероприятия по обеспечению избирательного процесса в условиях непростой эпидемиологической обстановки.</w:t>
      </w:r>
    </w:p>
    <w:p>
      <w:pPr>
        <w:pStyle w:val="BodyText"/>
      </w:pPr>
      <w:r>
        <w:t xml:space="preserve">В ряде государств, с учетом национального законодательства, загранучреждениями предпринимаются шаги по организации досрочного голосования, открытию избирательных участков вне помещений посольств и консульств.</w:t>
      </w:r>
    </w:p>
    <w:p>
      <w:pPr>
        <w:pStyle w:val="BodyText"/>
      </w:pPr>
      <w:r>
        <w:t xml:space="preserve">Согласованы меры, позволяющие максимально вовлечь российских избирателей за рубежом в выборный процесс. Приоритетное внимание будет уделяться своевременному оповещению избирателей, в том числе при задействовании СМИ и интернет-платформ РЗУ.</w:t>
      </w:r>
    </w:p>
    <w:p>
      <w:pPr>
        <w:pStyle w:val="BodyText"/>
      </w:pPr>
      <w:r>
        <w:t xml:space="preserve">Обсуждались вопросы соблюдения коронавирусных ограничений, принятия должных мер безопасности участников электорального процесса, а также приглашаемых в Россию для наблюдения за выборами в Госдуму наблюдателей из зарубежных стран.</w:t>
      </w:r>
    </w:p>
    <w:p>
      <w:pPr>
        <w:pStyle w:val="BodyText"/>
      </w:pPr>
      <w:r>
        <w:t xml:space="preserve">На коллегии выступила Председатель ЦИК России Э.А.Памфилова.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http://mosds.mos.ru/presscenter/news/detail/10070952.html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70952.html" TargetMode="External" /><Relationship Type="http://schemas.openxmlformats.org/officeDocument/2006/relationships/hyperlink" Id="rId23" Target="https://mosds.mos.ru/presscenter/news/detail/10070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70952.html" TargetMode="External" /><Relationship Type="http://schemas.openxmlformats.org/officeDocument/2006/relationships/hyperlink" Id="rId23" Target="https://mosds.mos.ru/presscenter/news/detail/10070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2024-04-14T15:18:54Z</dcterms:created>
  <dcterms:modified xsi:type="dcterms:W3CDTF">2024-04-14T15:18:54Z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